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7FF4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7FF4">
        <w:rPr>
          <w:rFonts w:ascii="Times New Roman" w:eastAsia="Calibri" w:hAnsi="Times New Roman" w:cs="Times New Roman"/>
          <w:sz w:val="24"/>
          <w:szCs w:val="24"/>
        </w:rPr>
        <w:t xml:space="preserve">«Павловский автомеханический техникум им. </w:t>
      </w:r>
      <w:proofErr w:type="spellStart"/>
      <w:r w:rsidRPr="00F97FF4">
        <w:rPr>
          <w:rFonts w:ascii="Times New Roman" w:eastAsia="Calibri" w:hAnsi="Times New Roman" w:cs="Times New Roman"/>
          <w:sz w:val="24"/>
          <w:szCs w:val="24"/>
        </w:rPr>
        <w:t>И.И.Лепсе</w:t>
      </w:r>
      <w:proofErr w:type="spellEnd"/>
      <w:r w:rsidRPr="00F97FF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97FF4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МЕТОДИЧЕСКИЕ</w:t>
      </w:r>
      <w:r w:rsidRPr="00F97FF4">
        <w:rPr>
          <w:rFonts w:ascii="Times New Roman" w:eastAsia="Calibri" w:hAnsi="Times New Roman" w:cs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F97FF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center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F97FF4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написанию</w:t>
      </w:r>
      <w:r w:rsidRPr="00F97FF4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выпускной квалификационной работы</w:t>
      </w: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F97FF4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F97FF4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специальности:</w:t>
      </w:r>
      <w:r w:rsidRPr="00F97FF4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44.02.01</w:t>
      </w:r>
      <w:r w:rsidRPr="00F97FF4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Дошкольное</w:t>
      </w:r>
      <w:r w:rsidRPr="00F97FF4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 </w:t>
      </w:r>
      <w:r w:rsidRPr="00F97FF4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образование</w:t>
      </w: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P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Default="00275F2E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FF4" w:rsidRDefault="00F97FF4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FF4" w:rsidRDefault="00F97FF4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FF4" w:rsidRDefault="00F97FF4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FF4" w:rsidRPr="00275F2E" w:rsidRDefault="00F97FF4" w:rsidP="00275F2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F2E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ВЫПУСКНОЙ КВАЛИФИКАЦИОННОЙ РАБОТЫ (ДИПЛОМНОЙ РАБОТЫ) СТУДЕНТА.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выпускной квалификационной работы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Выпускная квалификационная работа представляет собой законченное самостоятельное логически завершенное исследование, направленное на решение актуальной научно-практической задачи. 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могут составлять результаты экспериментальных, научно-практических исследований. ВКР должна свидетельствовать о способности автора самостоятельно вести научный поиск, используя теоретические знания и практические навыки, видеть профессиональные проблемы, уметь формулировать задачи исследования и методы их решения. 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ВКР является комплексная оценка качества </w:t>
      </w:r>
      <w:proofErr w:type="gram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  <w:proofErr w:type="gramEnd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проверка квалификационного уровня выпускника на соответствие требованиям </w:t>
      </w:r>
      <w:bookmarkStart w:id="0" w:name="OCRUncertain075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СПО,</w:t>
      </w:r>
      <w:bookmarkEnd w:id="0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отражающего область профессиональной деятельности, объекты и виды будущей профессиональной деятельности. В то же время, ВКР, являясь этапом образовательного процесса, преследует цели пополнения, закрепления и развития знаний, умений и навыков, приобретенных на предшествующих этапах обучения.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ВКР:</w:t>
      </w:r>
    </w:p>
    <w:p w:rsidR="00275F2E" w:rsidRPr="00F97FF4" w:rsidRDefault="00275F2E" w:rsidP="00275F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систематизация, закрепление и расширение теоретических и практических профессиональных знаний, их применение при решении конкретных практических задач в области образования; </w:t>
      </w:r>
    </w:p>
    <w:p w:rsidR="00275F2E" w:rsidRPr="00F97FF4" w:rsidRDefault="00275F2E" w:rsidP="00275F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самостоятельной работы, овладение методологией и методикой исследования и экспериментирования (методами теоретического и эмпирического исследования) при решении актуальных проблем образования; </w:t>
      </w:r>
    </w:p>
    <w:p w:rsidR="00275F2E" w:rsidRPr="00F97FF4" w:rsidRDefault="00275F2E" w:rsidP="00275F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уровня готовности студентов СПО к самостоятельной научно-практической работе в условиях современного образовательного процесса и публичной защиты результатов исследования. 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ВКР подлежит обязательному рецензированию. 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проверенная выпускная квалификационная работа содержала в себе не менее 60% оригинальности текста.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защиты ВКР – установление соответствия результатов освоения студентами образовательных программ СПО, соответствующим требованиям ФГОС СПО.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ФГОС СПО на государственной итоговой аттестации (</w:t>
      </w: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и защита ВКР) выпускник демонстрирует владение следующими компетенциями: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ОБЩИЕ КОМПЕТЕНЦИИ, ВКЛЮЧАЮЩИЕ В СЕБЯ СПОСОБНОСТЬ: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3. Оценивать риски и принимать решения в нестандартных ситуациях.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ОК 8. Самостоятельно определять задачи профессионального </w:t>
      </w:r>
      <w:proofErr w:type="gram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 личностного</w:t>
      </w:r>
      <w:proofErr w:type="gramEnd"/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развития, заниматься самообразованием, осознанно планировать повышение квалификации.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9.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Осуществлять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профессиональную деятельность в условиях обновления ее целей, содержания, смены технологий.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 10. Осуществлять профилактику травматизма, обеспечивать охрану жизни и здоровья детей.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11.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Строить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профессиональную деятельность с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соблюдением правовых норм, ее регулирующих.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ПРОФЕССИОНАЛЬНЫЕ КОМПЕТЕНЦИИ, соответствующие видам деятельности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1.1. Планировать мероприятия, направленные на укрепление здоровья ребенка и его физическое развитие.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ПК 1.2. </w:t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режимные моменты в соответствии с возрастом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ПК 1.3. </w:t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по физическому воспитанию в процессе выполнения двигательного режима.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ПК 1.4. </w:t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  2.1.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различные виды деятельности и общения детей в течение дня.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ПК 2.2. </w:t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различные игры с детьми раннего и дошкольного возраста.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ПК 2.3. </w:t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посильный труд и самообслуживание.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   2.4.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общение детей.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ПК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2.5.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продуктивную деятельность дошкольников (рисование, лепка, аппликация, конструирование).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2.6 Организовывать и проводить праздники и развлечения для детей раннего и дошкольного возраста.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2.7 Анализировать процесс и результаты организации различных видов деятельности и общения детей.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3.1 Определять цели и задачи, планировать занятия с детьми дошкольного возраста.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3.2 Проводить занятия с детьми дошкольного возраста.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3.3 Осуществлять педагогический контроль, оценивать процесс и результаты обучения дошкольников.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3.4 Анализировать занятия.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3.5 Вести документацию, обеспечивающую организацию занятий.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4.1 Определять цели, задачи и планировать работу с родителями.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4.2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4.3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4.4 Оценивать и анализировать результаты работы с родителями, корректировать процесс взаимодействия с ними.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4.5 Координировать деятельность сотрудников образовательной организации, работающих с группой.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5.1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5.2 Создавать в группе предметно-развивающую среду.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5.4 Оформлять педагогические разработки в виде отчетов, рефератов, выступлений.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5.5 Участвовать в исследовательской и проектной деятельности в области дошкольного образования.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378446690"/>
      <w:r w:rsidRPr="00F97FF4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 xml:space="preserve"> ТРЕБОВАНИЯ К НАПИСАНИЮ И ЗАЩИТЕ ВЫПУСКНОЙ КВАЛИФИКАЦИОННОЙ РАБОТЫ</w:t>
      </w:r>
    </w:p>
    <w:p w:rsidR="00275F2E" w:rsidRPr="00F97FF4" w:rsidRDefault="00275F2E" w:rsidP="00275F2E">
      <w:pPr>
        <w:widowControl w:val="0"/>
        <w:tabs>
          <w:tab w:val="num" w:pos="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Требования к выпускной квалификационной работе и порядку их выполнения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ВКР определяются образовательной организацией, утверждаются приказом </w:t>
      </w:r>
      <w:proofErr w:type="gram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 и</w:t>
      </w:r>
      <w:proofErr w:type="gramEnd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 современным требованиям развития образования, имеют практико-ориентированный характер.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При этом тематика ВКР должна соответствовать содержанию одного или нескольких профессиональных модулей, входящих в образовательную программу СПО.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ВКР студенту назначается руководитель.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должна иметь актуальность, новизну и практическую значимость.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Выполненная выпускная квалификационная работа в целом должна: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соответствовать разработанному заданию;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выполняется выпускником с использованием собранных им лично материалов, в том числе в период прохождения преддипломной практики, а также работы над выполнением курсовой работы.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темы ВКР следует учитывать, что ее содержание может основываться: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обобщении результатов выполненной ранее обучающимся курсовой </w:t>
      </w:r>
      <w:proofErr w:type="gram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,</w:t>
      </w:r>
      <w:proofErr w:type="gramEnd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она выполнялась в рамках соответствующего профессионального модуля;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использовании результатов выполненных ранее практических заданий.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Руководство выпускной квалификационной работой. 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Перечень тем выпускных квалификационных работ, закрепление их за студентами, назначение руководителей 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утверждаются приказом директора ГБПОУ «ПАМТ им. </w:t>
      </w:r>
      <w:proofErr w:type="spell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И.И.Лепсе</w:t>
      </w:r>
      <w:proofErr w:type="spellEnd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 каждому руководителю ВКР может быть одновременно прикреплено не более восьми выпускников.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обязанности руководителя ВКР входят: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разработка задания на подготовку ВКР;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разработка совместно с обучающимися плана ВКР;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оказание помощи обучающемуся в разработке индивидуального графика работы на весь период выполнения ВКР;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консультирование обучающегося по вопросам содержания и последовательности выполнения ВКР;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оказание помощи обучающемуся в подборе необходимых источников;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контроль хода выполнения ВКР в соответствии с установленным графиком в форме регулярного обсуждения руководителем и обучающимся хода работ;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оказание помощи (консультирование обучающегося) в подготовке презентации и доклада для защиты ВКР;</w:t>
      </w:r>
    </w:p>
    <w:p w:rsidR="00275F2E" w:rsidRPr="00F97FF4" w:rsidRDefault="00275F2E" w:rsidP="00275F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предоставление письменного отзыва на ВКР.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Задание для каждого обучающегося разрабатывается в соответствии с утвержденной темой ВКР.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установленные сроки студент отчитывается перед руководителем, который фиксируют степень готовности работы.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 завершении обучающимся подготовки ВКР руководитель проверяет качество работы, подписывает ее и своим письменным отзывом к защите. 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left="50" w:right="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сведения, изложенные в выпускной квалификационной работе и за правильность всех данных, ответственность несет непосредственно студент – автор ВКР.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Руководитель ВКР в отзыве в произвольной форме отражает уровень </w:t>
      </w:r>
      <w:proofErr w:type="spellStart"/>
      <w:r w:rsidRPr="00F97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сформированности</w:t>
      </w:r>
      <w:proofErr w:type="spellEnd"/>
      <w:r w:rsidRPr="00F97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компетенций и делает обобщающее заключение об их соответствии требованиям: «Не соответствует», «Частично соответствует», «В целом соответствует» или «Полностью соответствует».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Структура и содержание ВКР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ВКР должно учитывать требования ФГОС СПО к профессиональной подготовленности выпускника и включает в себя:</w:t>
      </w:r>
    </w:p>
    <w:p w:rsidR="00275F2E" w:rsidRPr="00F97FF4" w:rsidRDefault="00275F2E" w:rsidP="00275F2E">
      <w:pPr>
        <w:widowControl w:val="0"/>
        <w:numPr>
          <w:ilvl w:val="0"/>
          <w:numId w:val="2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актуальности темы, определение объекта, предмета, цели, гипотезы и задач исследования на основе анализа научной литературы и с учетом актуальных потребностей практики; </w:t>
      </w:r>
    </w:p>
    <w:p w:rsidR="00275F2E" w:rsidRPr="00F97FF4" w:rsidRDefault="00275F2E" w:rsidP="00275F2E">
      <w:pPr>
        <w:widowControl w:val="0"/>
        <w:numPr>
          <w:ilvl w:val="0"/>
          <w:numId w:val="2"/>
        </w:numPr>
        <w:tabs>
          <w:tab w:val="num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теоретическую и (или) экспериментальную части, включающие методологические основы, методики, методы и средства исследования; </w:t>
      </w:r>
    </w:p>
    <w:p w:rsidR="00275F2E" w:rsidRPr="00F97FF4" w:rsidRDefault="00275F2E" w:rsidP="00275F2E">
      <w:pPr>
        <w:widowControl w:val="0"/>
        <w:numPr>
          <w:ilvl w:val="0"/>
          <w:numId w:val="2"/>
        </w:numPr>
        <w:tabs>
          <w:tab w:val="num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полученных результатов; </w:t>
      </w:r>
    </w:p>
    <w:p w:rsidR="00275F2E" w:rsidRPr="00F97FF4" w:rsidRDefault="00275F2E" w:rsidP="00275F2E">
      <w:pPr>
        <w:widowControl w:val="0"/>
        <w:numPr>
          <w:ilvl w:val="0"/>
          <w:numId w:val="2"/>
        </w:numPr>
        <w:tabs>
          <w:tab w:val="num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 рекомендации; </w:t>
      </w:r>
    </w:p>
    <w:p w:rsidR="00275F2E" w:rsidRPr="00F97FF4" w:rsidRDefault="00275F2E" w:rsidP="00275F2E">
      <w:pPr>
        <w:widowControl w:val="0"/>
        <w:numPr>
          <w:ilvl w:val="0"/>
          <w:numId w:val="2"/>
        </w:numPr>
        <w:tabs>
          <w:tab w:val="num" w:pos="0"/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источников.</w:t>
      </w:r>
    </w:p>
    <w:p w:rsidR="00275F2E" w:rsidRPr="00F97FF4" w:rsidRDefault="00275F2E" w:rsidP="00275F2E">
      <w:pPr>
        <w:tabs>
          <w:tab w:val="left" w:pos="-581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Общими требованиями к ВКР являются: </w:t>
      </w:r>
    </w:p>
    <w:p w:rsidR="00275F2E" w:rsidRPr="00F97FF4" w:rsidRDefault="00275F2E" w:rsidP="00275F2E">
      <w:pPr>
        <w:widowControl w:val="0"/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четкость построения; </w:t>
      </w:r>
    </w:p>
    <w:p w:rsidR="00275F2E" w:rsidRPr="00F97FF4" w:rsidRDefault="00275F2E" w:rsidP="00275F2E">
      <w:pPr>
        <w:widowControl w:val="0"/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логическая последовательность изложения материала; </w:t>
      </w:r>
    </w:p>
    <w:p w:rsidR="00275F2E" w:rsidRPr="00F97FF4" w:rsidRDefault="00275F2E" w:rsidP="00275F2E">
      <w:pPr>
        <w:widowControl w:val="0"/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убедительность аргументации; </w:t>
      </w:r>
    </w:p>
    <w:p w:rsidR="00275F2E" w:rsidRPr="00F97FF4" w:rsidRDefault="00275F2E" w:rsidP="00275F2E">
      <w:pPr>
        <w:widowControl w:val="0"/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краткость и точность формулировок, исключающих возможность субъективного и неоднозначного толкования; </w:t>
      </w:r>
    </w:p>
    <w:p w:rsidR="00275F2E" w:rsidRPr="00F97FF4" w:rsidRDefault="00275F2E" w:rsidP="00275F2E">
      <w:pPr>
        <w:widowControl w:val="0"/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конкретность изложения результатов работы; </w:t>
      </w:r>
    </w:p>
    <w:p w:rsidR="00275F2E" w:rsidRPr="00F97FF4" w:rsidRDefault="00275F2E" w:rsidP="00275F2E">
      <w:pPr>
        <w:widowControl w:val="0"/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доказательность выводов и обоснованность полученных результатов и рекомендаций. </w:t>
      </w:r>
    </w:p>
    <w:p w:rsidR="00275F2E" w:rsidRPr="00F97FF4" w:rsidRDefault="00275F2E" w:rsidP="00275F2E">
      <w:pPr>
        <w:tabs>
          <w:tab w:val="left" w:pos="-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ВКР, как правило, структурно представлена следующими компонентами: 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титульный лист; 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оглавление;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введение, в котором обосновываются целесообразность выбора темы, актуальность поставленных задач, определяются объект, предмет, гипотеза исследования, формулируются задачи исследования, проводится критический анализ историографии вопроса;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часть, состоящая, как правило, из двух- трех глав и нескольких параграфов в каждой главе, посвященных анализу поставленной проблемы в теоретическом и прикладном плане, решению конкретных задач работы. Каждая глава завершается выводами;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заключение, включающее выводы по всей теме исследования и </w:t>
      </w: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рекомендации по внедрению его результатов;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 литературы;</w:t>
      </w:r>
    </w:p>
    <w:p w:rsidR="00275F2E" w:rsidRPr="00F97FF4" w:rsidRDefault="00275F2E" w:rsidP="00275F2E">
      <w:pPr>
        <w:widowControl w:val="0"/>
        <w:numPr>
          <w:ilvl w:val="0"/>
          <w:numId w:val="5"/>
        </w:numPr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(если они имеются).</w:t>
      </w:r>
    </w:p>
    <w:p w:rsidR="00275F2E" w:rsidRPr="00F97FF4" w:rsidRDefault="00275F2E" w:rsidP="00275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ВКР определяется выпускающей кафедрой и составляет 40-60 стандартных страниц, не включая таблицы, рисунки, список используемой литературы, оглавление и приложения.</w:t>
      </w: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Рецензирование выпускных квалификационных работ</w:t>
      </w:r>
    </w:p>
    <w:p w:rsidR="00275F2E" w:rsidRPr="00F97FF4" w:rsidRDefault="00275F2E" w:rsidP="00275F2E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ВКР подлежат обязательному рецензированию с целью обеспечения объективности оценки труда выпускника. 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рецензии приведено в таблице.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581"/>
        <w:gridCol w:w="8677"/>
      </w:tblGrid>
      <w:tr w:rsidR="00275F2E" w:rsidRPr="00F97FF4" w:rsidTr="00275F2E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  <w:proofErr w:type="spellStart"/>
            <w:r w:rsidRPr="00F9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97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275F2E" w:rsidRPr="00F97FF4" w:rsidTr="00275F2E">
        <w:trPr>
          <w:trHeight w:val="1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Грамотность методологического аппарат исследования (обоснование актуальности работы; формулирование проблемы, цели, объекта, предмета, гипотезы исследования; определение задач </w:t>
            </w:r>
            <w:proofErr w:type="gramStart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обоснование</w:t>
            </w:r>
            <w:proofErr w:type="gramEnd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 исследования)</w:t>
            </w:r>
          </w:p>
        </w:tc>
      </w:tr>
      <w:tr w:rsidR="00275F2E" w:rsidRPr="00F97FF4" w:rsidTr="00275F2E">
        <w:trPr>
          <w:trHeight w:val="27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Логичность  и</w:t>
            </w:r>
            <w:proofErr w:type="gramEnd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обоснованность структуры ВКР</w:t>
            </w:r>
          </w:p>
        </w:tc>
      </w:tr>
      <w:tr w:rsidR="00275F2E" w:rsidRPr="00F97FF4" w:rsidTr="00275F2E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обоснованность выводов, </w:t>
            </w:r>
            <w:proofErr w:type="gramStart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содержащихся  в</w:t>
            </w:r>
            <w:proofErr w:type="gramEnd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ВКР</w:t>
            </w:r>
          </w:p>
        </w:tc>
      </w:tr>
      <w:tr w:rsidR="00275F2E" w:rsidRPr="00F97FF4" w:rsidTr="00275F2E">
        <w:trPr>
          <w:trHeight w:val="69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обоснованность материалов (в основной части или в приложении), подтверждающих ход выполнения и результаты ВКР</w:t>
            </w:r>
          </w:p>
        </w:tc>
      </w:tr>
      <w:tr w:rsidR="00275F2E" w:rsidRPr="00F97FF4" w:rsidTr="00275F2E">
        <w:trPr>
          <w:trHeight w:val="5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выпускной квалификационной работы в соответствии с требованиями</w:t>
            </w:r>
          </w:p>
        </w:tc>
      </w:tr>
      <w:tr w:rsidR="00275F2E" w:rsidRPr="00F97FF4" w:rsidTr="00275F2E">
        <w:trPr>
          <w:trHeight w:val="69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использования источников, представленных в списке литературы, и корректность их упоминания в тексте ВКР</w:t>
            </w:r>
          </w:p>
        </w:tc>
      </w:tr>
      <w:tr w:rsidR="00275F2E" w:rsidRPr="00F97FF4" w:rsidTr="00275F2E">
        <w:trPr>
          <w:trHeight w:val="43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</w:t>
            </w:r>
            <w:proofErr w:type="gramStart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привлечения  информационных</w:t>
            </w:r>
            <w:proofErr w:type="gramEnd"/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и их достаточность для решения задач ВКР</w:t>
            </w:r>
          </w:p>
        </w:tc>
      </w:tr>
      <w:tr w:rsidR="00275F2E" w:rsidRPr="00F97FF4" w:rsidTr="00275F2E">
        <w:trPr>
          <w:trHeight w:val="4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использования терминологии</w:t>
            </w:r>
          </w:p>
        </w:tc>
      </w:tr>
      <w:tr w:rsidR="00275F2E" w:rsidRPr="00F97FF4" w:rsidTr="00275F2E">
        <w:trPr>
          <w:trHeight w:val="6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стиля изложения материала ВКР жанру работы </w:t>
            </w:r>
          </w:p>
        </w:tc>
      </w:tr>
      <w:tr w:rsidR="00275F2E" w:rsidRPr="00F97FF4" w:rsidTr="00275F2E">
        <w:trPr>
          <w:trHeight w:val="2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и качество анализа теоретических материалов</w:t>
            </w:r>
          </w:p>
        </w:tc>
      </w:tr>
      <w:tr w:rsidR="00275F2E" w:rsidRPr="00F97FF4" w:rsidTr="00275F2E">
        <w:trPr>
          <w:trHeight w:val="4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и качество анализа практических материалов</w:t>
            </w:r>
          </w:p>
        </w:tc>
      </w:tr>
      <w:tr w:rsidR="00275F2E" w:rsidRPr="00F97FF4" w:rsidTr="00275F2E">
        <w:trPr>
          <w:trHeight w:val="53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F2E" w:rsidRPr="00F97FF4" w:rsidRDefault="00275F2E" w:rsidP="001B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обоснованность выводов по материалам ВКР</w:t>
            </w:r>
          </w:p>
        </w:tc>
      </w:tr>
    </w:tbl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Рецензент ВКР в произвольной форме отражает уровень </w:t>
      </w:r>
      <w:proofErr w:type="spellStart"/>
      <w:r w:rsidRPr="00F97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сформированности</w:t>
      </w:r>
      <w:proofErr w:type="spellEnd"/>
      <w:r w:rsidRPr="00F97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компетенций согласно шкале «Степень соответствия» и делает обобщающее заключение о соответствии проявленных компетенций требованиям: «Не соответствует», «Частично соответствует», «В целом соответствует» или «Полностью соответствует».</w:t>
      </w:r>
    </w:p>
    <w:p w:rsidR="00275F2E" w:rsidRPr="00F97FF4" w:rsidRDefault="00275F2E" w:rsidP="00275F2E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рецензии доводится </w:t>
      </w:r>
      <w:proofErr w:type="gram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</w:t>
      </w:r>
      <w:proofErr w:type="gramEnd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не позднее чем за день до защиты работы.</w:t>
      </w:r>
    </w:p>
    <w:p w:rsidR="00275F2E" w:rsidRPr="00F97FF4" w:rsidRDefault="00275F2E" w:rsidP="00275F2E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ВКР после получения рецензии не допускается.</w:t>
      </w:r>
    </w:p>
    <w:p w:rsidR="00275F2E" w:rsidRPr="00F97FF4" w:rsidRDefault="00275F2E" w:rsidP="00275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защиты выпускной квалификационной работы (дипломной работы)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защите ВКР допускаются лица, завершившие полный курс обучения по ОПОП СПО / ППССЗ и успешно прошедшие все предшествующие аттестационные испытания, предусмотренные учебным планом.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производится на открытом заседании. 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ГЭК или его заместителя. При равном числе голосов голос председательствующего на заседании ГЭК </w:t>
      </w: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является решающим.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ГЭК оформляется протоколом, который подписывается председателем ГЭК (в случае отсутствия председателя - его заместителем) и секретарем ГЭК и хранится в </w:t>
      </w:r>
      <w:proofErr w:type="gramStart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архиве .</w:t>
      </w:r>
      <w:proofErr w:type="gramEnd"/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протоколе записываются: итоговая оценка ВКР, присуждение квалификации и особые мнения членов комиссии.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доклада обучающийся использует подготовленный наглядный материал, иллюстрирующий основные положения ВКР.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оценки по защите ВКР учитываются: качество устного доклада выпускника, свободное владение материалом ВКР, глубина и точность ответов на вопросы, отзыв руководителя и рецензия.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защиты ВКР обсуждаются на закрытом заседании ГЭК и оцениваются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мнение председателя является решающим.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ГИА или получившие на ГИА неудовлетворительные результаты, проходят ГИА не ранее чем через шесть месяцев после прохождения ГИА впервые.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ГИА лицо, не прошедшее ГИА по неуважительной причине или получившее на ГИА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СПО.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прохождение ГИА для одного лица назначается образовательной организацией не более двух раз.</w:t>
      </w:r>
    </w:p>
    <w:p w:rsidR="00275F2E" w:rsidRPr="00F97FF4" w:rsidRDefault="00275F2E" w:rsidP="00275F2E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504571575"/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защиты выпускных квалификационных работ</w:t>
      </w:r>
      <w:bookmarkEnd w:id="2"/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Итоговая оценка за ВКР выпускника основывается на оценках руководителя ВКР, рецензента, членов ГЭК и выставляется по ряду критериев, основываясь на представленных к защите материалов – доклада студентов, текста ВКР, отзыва научного руководителя, рецензии, ответов студента на вопросы: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Хранение ВКР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Выполненные ВКР хранятся после их защиты в </w:t>
      </w:r>
      <w:proofErr w:type="gramStart"/>
      <w:r w:rsidRPr="00F97FF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архиве .Срок</w:t>
      </w:r>
      <w:proofErr w:type="gramEnd"/>
      <w:r w:rsidRPr="00F97FF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хранения - в течение пяти лет после выпуска обучающихся из образовательной организации.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Списание ВКР оформляется соответствующим актом.</w:t>
      </w:r>
    </w:p>
    <w:bookmarkEnd w:id="1"/>
    <w:p w:rsidR="00275F2E" w:rsidRPr="00F97FF4" w:rsidRDefault="00275F2E" w:rsidP="00275F2E">
      <w:pPr>
        <w:widowControl w:val="0"/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tabs>
          <w:tab w:val="left" w:pos="-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 w:type="page"/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3" w:name="_GoBack"/>
      <w:bookmarkEnd w:id="3"/>
      <w:r w:rsidRPr="00F97F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ПРИЛОЖЕНИЕ 1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ПРИМЕРНАЯ ТЕМАТИКА ВКР ПО СПЕЦИАЛЬНОСТИ 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44.02.01 «ДОШКОЛЬНОЕ ОБРАЗОВАНИЕ»</w:t>
      </w:r>
    </w:p>
    <w:p w:rsidR="00275F2E" w:rsidRPr="00F97FF4" w:rsidRDefault="00275F2E" w:rsidP="00275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Закаливание как средство формирования здорового образа жизни детей 5-6 лет в условиях дошкольной образовательной организации.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Подвижные игры как средство оптимизации двигательной активности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Развитие быстроты и ловкости у детей подготовительной группы ДОО в ходе физкультурных развлечений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Бег как средство развития ловкости у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Подвижная игра как средство развития метания у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Подвижная игра как средство развития эмоциональной сферы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Спортивные игры как средство развития ручной ловкости у детей старшего дошкольного возраста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Утренняя гимнастика как средство развития инициативности и самостоятельности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Физические упражнения как средство формирования правильной осанки у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Использование нетрадиционного оборудования для развития движений в работе с дошкольниками.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Использование нестандартного физкультурного оборудования в ДОУ как эффективного средства приобщения детей дошкольного возраста к здоровому образу жизни.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Использование нетрадиционного физкультурного оборудования в физическом развитии детей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13. Формирование двигательной активности детей 2-3 </w:t>
      </w:r>
      <w:proofErr w:type="spellStart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летс</w:t>
      </w:r>
      <w:proofErr w:type="spellEnd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использованием нестандартного физкультурного оборудования.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14. Подвижная игра как средство приобщения детей к здоровому образу жизни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 Развитие двигательной активности детей на прогулке.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 Воспитание культурно-гигиенических навыков и навыков самообслуживания в старшей группе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17. Воспитание гигиенических навыков – опрятности, аккуратности в быту, навыков культуры еды, как неотъемлемой части культуры поведения детей младшей группы ДОО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18. Формирование представлений старших дошкольников об организме человека и здоровом образе жизни в процессе познавательно-экспериментальной деятельности.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19. Формирование у дошкольников навыков безопасного поведения на улицах города.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20. Формирование ценностного отношения субъектов образовательного процесса ДОО к здоровому образу жизни в условиях использования информационных технологий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21. Игра-драматизация как средство развития творческих способностей у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22. Сюжетно-ролевая игра как средство формирования дружеских взаимоотношений у детей старшего дошкольного возраста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23. Использование музыкально-дидактических игр для активизации познавательной деятельности старших дошкольников.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24. Изобразительная деятельность как средство развития творческих способностей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25. Самостоятельная художественная деятельность как средство развития творческих способностей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26. Развитие культуры речевого общения детей старшего дошкольного возраста в игровой форме обучения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27. Речевые игры и упражнения как средство развития фонематического слуха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28. Воспитание культуры поведения и положительных взаимоотношений у детей старшего дошкольного возраста в игровой деятельности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29. Игровая деятельность как средство формирования элементарных экономических знаний у старших дошкольников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30. Экспериментальная деятельность как средство познавательного развития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31. Использование дидактических игр в развитии математических способностей детей старшего дошкольного возраста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32. Цветные палочки </w:t>
      </w:r>
      <w:proofErr w:type="spellStart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Кюизенера</w:t>
      </w:r>
      <w:proofErr w:type="spellEnd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средство формирования представлений о составе числа у детей старшего дошкольного возраста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33. Формирование экологической культуры старших дошкольников в процессе экспериментирования с объектами неживой природы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34. Экологическая тропа как эффективный метод повышения экологической культуры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35. Развитие сопереживания у детей старшего дошкольного возраста в режиссерских играх.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36. Развитие образной речи старших дошкольников в процессе восприятия произведений изобразительного искусства.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37. Игра-драматизация как средство развития </w:t>
      </w:r>
      <w:proofErr w:type="spellStart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эмпатии</w:t>
      </w:r>
      <w:proofErr w:type="spellEnd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 детей старшего дошкольного возраста.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38. Влияние дидактической игры на развитие логического мышления в среднем дошкольном возрасте.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39. Дидактическая игра как средство ознакомления детей младшего дошкольного возраста с количественными отношениями.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40. Фольклор как средство развития музыкальности дошкольников.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41. Фольклор как средство патриотического воспитания старших дошкольников.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42. Использование нетрадиционных техник рисования как средство развития художественно-творческих способностей детей старшего дошкольного возраста</w:t>
      </w:r>
    </w:p>
    <w:p w:rsidR="00275F2E" w:rsidRPr="00F97FF4" w:rsidRDefault="00275F2E" w:rsidP="00275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43. Сюжетно-ролевая игра как средство развития гуманных чувств у детей старшего дошкольного возраста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44. Театрализованная игра как средство развития творческих способностей детей дошкольного возраста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45. Влияние экспериментирования с объектами живой природы на формирование экологической культуры старших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46. Трудовая деятельность как средство воспитания нравственных качеств у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47. Русские народные сказки как эффективное средство развития связной речи в среднем дошкольном возрасте.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48. Использование музыкально-дидактических игр для активизации познавательной деятельности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49. Формирование предпосылок экономического воспитания у детей старшего дошкольного возраста посредством игр и игровых упражнений.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50. Формирование представлений о времени у детей старшего дошкольного возраста посредством моделирования.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51. Формирование элементарной трудовой деятельности детей старшего дошкольного возраста в процессе хозяйственно-бытового труда.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52. Музыкотерапия как средство развития коммуникативных способностей детей старшего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53. Использование дидактических игр в формировании пространственных представлений у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54. Познавательное развитие детей старшего дошкольного возраста посредством организации экспериментальной деятельности.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55. Экскурсии как средство социализации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56. Экскурсии как средство патриотического воспитания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57. Экскурсии как средство приобщения любви к родной природе.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58. Развитие любознательности (познавательного интереса, инициативы, самостоятельной активности, сотрудничества и т.д.) детей через проектную деятельность.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59. Метод детского проектирования как средство развития личностных качеств ребенка.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60. Празднично-событийные циклы в детском саду как средство нравственно-патриотического воспитания детей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61. Развитие познавательного интереса детей ДОО с помощью информационно-коммуникационных технологий.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62. Использование информационно – коммуникативных технологий в дошкольном образовании как средство развития творческих способностей педагога и положительного влияния на развитие дошкольников.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63. Взаимодействие ДОУ и семьи по вопросам </w:t>
      </w:r>
      <w:proofErr w:type="spellStart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здоровьесбережения</w:t>
      </w:r>
      <w:proofErr w:type="spellEnd"/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64. Организация проектной деятельности в старшей группе ДОУ как важное условие развития детско-родительских отношений.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65. Взаимодействие семьи и дошкольной образовательной организации в решении задач трудового воспитания детей старшего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66. Привлечение родителей к взаимодействию с ДОО посредством использования нетрадиционных форм работы.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67. Взаимодействие воспитателя и родителей в воспитании самостоятельности у детей младшего дошкольного возраста.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68. Детское портфолио как средство взаимодействия с родителями.</w:t>
      </w:r>
    </w:p>
    <w:p w:rsidR="00275F2E" w:rsidRPr="00F97FF4" w:rsidRDefault="00275F2E" w:rsidP="00275F2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69. Взаимодействие детского сада и семьи как средство воспитания гендерной толерантности у старших дошкольников.</w:t>
      </w:r>
    </w:p>
    <w:p w:rsidR="00275F2E" w:rsidRPr="00F97FF4" w:rsidRDefault="00275F2E" w:rsidP="00275F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2E" w:rsidRPr="00F97FF4" w:rsidRDefault="00275F2E" w:rsidP="0027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F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5F2E" w:rsidRPr="00F57EDC" w:rsidRDefault="00275F2E" w:rsidP="00275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F2E" w:rsidRPr="00F57EDC" w:rsidRDefault="00275F2E" w:rsidP="00275F2E">
      <w:pPr>
        <w:spacing w:after="200" w:line="276" w:lineRule="auto"/>
        <w:ind w:left="142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2E" w:rsidRPr="00F57EDC" w:rsidRDefault="00275F2E" w:rsidP="00275F2E">
      <w:pPr>
        <w:rPr>
          <w:rFonts w:ascii="Calibri" w:eastAsia="Calibri" w:hAnsi="Calibri" w:cs="Times New Roman"/>
        </w:rPr>
      </w:pPr>
    </w:p>
    <w:p w:rsidR="00275F2E" w:rsidRPr="00F57EDC" w:rsidRDefault="00275F2E" w:rsidP="00275F2E">
      <w:pPr>
        <w:rPr>
          <w:rFonts w:ascii="Calibri" w:eastAsia="Calibri" w:hAnsi="Calibri" w:cs="Times New Roman"/>
        </w:rPr>
      </w:pPr>
    </w:p>
    <w:p w:rsidR="00275F2E" w:rsidRPr="00F57EDC" w:rsidRDefault="00275F2E" w:rsidP="00275F2E">
      <w:pPr>
        <w:rPr>
          <w:rFonts w:ascii="Calibri" w:eastAsia="Calibri" w:hAnsi="Calibri" w:cs="Times New Roman"/>
        </w:rPr>
      </w:pPr>
    </w:p>
    <w:p w:rsidR="00275F2E" w:rsidRDefault="00275F2E" w:rsidP="00275F2E"/>
    <w:p w:rsidR="00130C1E" w:rsidRDefault="00130C1E"/>
    <w:sectPr w:rsidR="0013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64A"/>
    <w:multiLevelType w:val="hybridMultilevel"/>
    <w:tmpl w:val="C7302248"/>
    <w:lvl w:ilvl="0" w:tplc="62560E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A457310"/>
    <w:multiLevelType w:val="hybridMultilevel"/>
    <w:tmpl w:val="FAC2AA0C"/>
    <w:lvl w:ilvl="0" w:tplc="62560EA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5A72911"/>
    <w:multiLevelType w:val="hybridMultilevel"/>
    <w:tmpl w:val="7BB06E0A"/>
    <w:lvl w:ilvl="0" w:tplc="62560EA6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>
    <w:nsid w:val="56FE041E"/>
    <w:multiLevelType w:val="hybridMultilevel"/>
    <w:tmpl w:val="383C9EF6"/>
    <w:lvl w:ilvl="0" w:tplc="62560E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83C4432"/>
    <w:multiLevelType w:val="hybridMultilevel"/>
    <w:tmpl w:val="33D0155C"/>
    <w:lvl w:ilvl="0" w:tplc="FE546B8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2E"/>
    <w:rsid w:val="00130C1E"/>
    <w:rsid w:val="00275F2E"/>
    <w:rsid w:val="00F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C6467-771B-4F4D-8EB6-BB4C60B6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МуравьеваЕЮ</cp:lastModifiedBy>
  <cp:revision>2</cp:revision>
  <cp:lastPrinted>2022-02-07T09:50:00Z</cp:lastPrinted>
  <dcterms:created xsi:type="dcterms:W3CDTF">2022-02-07T09:13:00Z</dcterms:created>
  <dcterms:modified xsi:type="dcterms:W3CDTF">2022-02-07T09:51:00Z</dcterms:modified>
</cp:coreProperties>
</file>